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4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298450</wp:posOffset>
            </wp:positionH>
            <wp:positionV relativeFrom="paragraph">
              <wp:posOffset>-182880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4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189230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4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left="4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jc w:val="center"/>
        <w:ind w:left="4140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ind w:left="3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5.798 DE 29 DE MARÇO DE 2021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Reconhece a prática da atividade física e do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exercício físico, ministrados por profissional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 Educação Física, como essenciais para 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tabs>
          <w:tab w:leader="none" w:pos="6580" w:val="left"/>
          <w:tab w:leader="none" w:pos="7120" w:val="left"/>
          <w:tab w:leader="none" w:pos="8300" w:val="left"/>
          <w:tab w:leader="none" w:pos="8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população</w:t>
        <w:tab/>
        <w:t>do</w:t>
        <w:tab/>
        <w:t>Município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Getúlio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Vargas/RS,  e  as  empresas  prestadoras  de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serviços  destinados  a  essa  finalidade  em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tempos de crises ocasionadas por moléstias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contagiosas ou catástrofes naturais.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both"/>
        <w:ind w:right="520" w:firstLine="1560"/>
        <w:spacing w:after="0" w:line="3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176" w:lineRule="exact"/>
        <w:rPr>
          <w:sz w:val="24"/>
          <w:szCs w:val="24"/>
          <w:color w:val="auto"/>
        </w:rPr>
      </w:pPr>
    </w:p>
    <w:p>
      <w:pPr>
        <w:jc w:val="both"/>
        <w:ind w:right="520" w:firstLine="156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1º Fica reconhecido no Município de Getúlio Vargas/RS a prática da atividade física e do exercício físico, ministrados por Profissional de Educação Física, devidamente registrado no Conselho Regional de Educação Física da 2ª Região – CREF2/RS, como essenciais para a população, e as empresas prestadoras de serviços destinados a essa finalidade em tempos de crises ocasionadas por moléstias contagiosas ou catástrofes naturais.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right="520" w:firstLine="156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Parágrafo único. Poderá a autoridade competente restringir o direito da prática das atividades citadas no caput deste artigo desde que com decisão fundamentada em normas sanitárias e de segurança pública, a qual indicará a extensão, motivos e critérios técnicos e científicos embasadores das restrições que porventura venham a ser expostas.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1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Esta Lei entrará em vigor na data de sua publicação.</w:t>
      </w: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 29 </w:t>
      </w:r>
      <w:r>
        <w:rPr>
          <w:rFonts w:ascii="Arial" w:cs="Arial" w:eastAsia="Arial" w:hAnsi="Arial"/>
          <w:sz w:val="21"/>
          <w:szCs w:val="21"/>
          <w:color w:val="auto"/>
        </w:rPr>
        <w:t>de março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2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ectPr>
          <w:pgSz w:w="11900" w:h="16837" w:orient="portrait"/>
          <w:cols w:equalWidth="0" w:num="1">
            <w:col w:w="10000"/>
          </w:cols>
          <w:pgMar w:left="1280" w:top="950" w:right="626" w:bottom="844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Esta Lei foi afixada no Mural da Prefeitura,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6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onde são divulgados os atos oficiais, por 15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ind w:left="6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dias a contar de 30/03/2021.</w:t>
      </w:r>
    </w:p>
    <w:sectPr>
      <w:pgSz w:w="11900" w:h="16837" w:orient="portrait"/>
      <w:cols w:equalWidth="0" w:num="1">
        <w:col w:w="10000"/>
      </w:cols>
      <w:pgMar w:left="1280" w:top="950" w:right="626" w:bottom="84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2021-06-28T20:14:51Z</dcterms:created>
  <dcterms:modified xsi:type="dcterms:W3CDTF">2021-06-28T20:14:51Z</dcterms:modified>
</cp:coreProperties>
</file>