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-398145</wp:posOffset>
            </wp:positionV>
            <wp:extent cx="764540" cy="764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5.803 DE 09 DE ABRIL DE 2021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5940"/>
        <w:spacing w:after="0"/>
        <w:tabs>
          <w:tab w:leader="none" w:pos="6700" w:val="left"/>
          <w:tab w:leader="none" w:pos="8040" w:val="left"/>
          <w:tab w:leader="none" w:pos="8420" w:val="left"/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Realiza</w:t>
        <w:tab/>
        <w:t>modificações</w:t>
        <w:tab/>
        <w:t>no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caput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do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940"/>
        <w:spacing w:after="0"/>
        <w:tabs>
          <w:tab w:leader="none" w:pos="6660" w:val="left"/>
          <w:tab w:leader="none" w:pos="7120" w:val="left"/>
          <w:tab w:leader="none" w:pos="7540" w:val="left"/>
          <w:tab w:leader="none" w:pos="8020" w:val="left"/>
          <w:tab w:leader="none" w:pos="9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artigo</w:t>
        <w:tab/>
        <w:t>2°,</w:t>
        <w:tab/>
        <w:t>da</w:t>
        <w:tab/>
        <w:t>Lei</w:t>
        <w:tab/>
        <w:t>Municipal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n°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5.647/2020, bem como inclui os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§§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1°, 2°, 3°, 4°, 5º e 6º ao referido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artigo.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1º Fica alterado o caput do artigo 2°, da Lei Municipal n° 5.647/2020, que autorizou a Secretaria de Educação, Cultura e Desporto do Município de Getúlio Vargas a realizar a escala de trabalho e compensação futura de horas, passando o artigo a vigorar com a seguinte redação:</w:t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A compensação das horas devidas dar-se-á hora por hora, mediante acordo individual escrito a ser formalizado com o respectivo servidor.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jc w:val="both"/>
        <w:ind w:left="260" w:right="28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Ficam incluídos ao artigo 2°, da Lei Municipal n° 5.647/2020, os §§ 1°, 2°, 3°, 4°, 5º e 6º, que passam a vigorar com a seguinte redação: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4"/>
        <w:spacing w:after="0" w:line="293" w:lineRule="auto"/>
        <w:tabs>
          <w:tab w:leader="none" w:pos="2253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1º A compensação das horas devidas dar-se-á, prioritariamente, no cumprimento do calendário escolar, observada a compensação máxima de 2 horas por dia excedentes ao período normal de trabalho, podendo, à critério da Secretaria de Educação, Cultura e Desporto, ser realizada em outro serviço expressamente designado pela Secretaria, oportunidade em que poderá ser superado o limite de 2 horas diárias, observado o período normal de trabalho;</w:t>
      </w:r>
    </w:p>
    <w:p>
      <w:pPr>
        <w:spacing w:after="0" w:line="22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right="300" w:firstLine="1704"/>
        <w:spacing w:after="0" w:line="306" w:lineRule="auto"/>
        <w:tabs>
          <w:tab w:leader="none" w:pos="2144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2º Para fins de compensação das horas devidas, será realizado o desconto da remuneração percebida pelo servidor, observado o mínimo correspondente ao valor de 15 (quinze) horas mensais de cada servidor, perfectibilizadas mediante desconto em folha de pagamento;</w:t>
      </w:r>
    </w:p>
    <w:p>
      <w:pPr>
        <w:spacing w:after="0" w:line="208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260" w:right="300" w:firstLine="1704"/>
        <w:spacing w:after="0" w:line="279" w:lineRule="auto"/>
        <w:tabs>
          <w:tab w:leader="none" w:pos="2132" w:val="left"/>
        </w:tabs>
        <w:numPr>
          <w:ilvl w:val="0"/>
          <w:numId w:val="1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3º Para fins de compensação das horas devidas, poderão ser consideradas pela Secretaria Educação, Cultura e Desporto, a carga horária correspondente a palestras, cursos, seminários e outros, devidamente realizados e comprovados pelo servidor interessado, cujos mesmos tenham vinculação com a função pública desempenhada pelo respectivo servidor:</w:t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260" w:right="30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 – as palestras, cursos, seminários e outros poderão ser realizados na modalidade presencial, virtual ou sistema híbrido;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260" w:right="300" w:firstLine="1704"/>
        <w:spacing w:after="0" w:line="279" w:lineRule="auto"/>
        <w:tabs>
          <w:tab w:leader="none" w:pos="2127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poderão ser considerados os cursos, palestras, seminários e outros, realizados pelo respectivo servidor a partir de fevereiro de 2021;</w:t>
      </w:r>
    </w:p>
    <w:p>
      <w:pPr>
        <w:sectPr>
          <w:pgSz w:w="11900" w:h="16837" w:orient="portrait"/>
          <w:cols w:equalWidth="0" w:num="1">
            <w:col w:w="9620"/>
          </w:cols>
          <w:pgMar w:left="1440" w:top="950" w:right="846" w:bottom="1440" w:gutter="0" w:footer="0" w:header="0"/>
        </w:sectPr>
      </w:pPr>
    </w:p>
    <w:bookmarkStart w:id="1" w:name="page2"/>
    <w:bookmarkEnd w:id="1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-398145</wp:posOffset>
            </wp:positionV>
            <wp:extent cx="764540" cy="764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260" w:right="300" w:firstLine="1704"/>
        <w:spacing w:after="0" w:line="286" w:lineRule="auto"/>
        <w:tabs>
          <w:tab w:leader="none" w:pos="2204" w:val="left"/>
        </w:tabs>
        <w:numPr>
          <w:ilvl w:val="0"/>
          <w:numId w:val="3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4º O servidor público poderá valer-se da combinação das hipóteses de compensação descritas nos §1º, §2º e 3º; devendo o setor competente readequar os descontos conforme informações repassadas pela Secretaria de Educação, Cultura e Desporto;</w:t>
      </w:r>
    </w:p>
    <w:p>
      <w:pPr>
        <w:spacing w:after="0" w:line="222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jc w:val="both"/>
        <w:ind w:left="260" w:right="300" w:firstLine="1704"/>
        <w:spacing w:after="0" w:line="263" w:lineRule="auto"/>
        <w:tabs>
          <w:tab w:leader="none" w:pos="2138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5º Nas hipóteses de compensação descritas nos §1º, §2º e 3º, a compensação integral das horas devidas deverá observar, impreterivelmente, a data limite de novembro de 2024, sendo o saldo devedor remanescente integralmente descontado da remuneração percebida pelo servidor no mês de dezembro de 2024;</w:t>
      </w:r>
    </w:p>
    <w:p>
      <w:pPr>
        <w:spacing w:after="0" w:line="24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260" w:right="300" w:firstLine="1704"/>
        <w:spacing w:after="0" w:line="280" w:lineRule="auto"/>
        <w:tabs>
          <w:tab w:leader="none" w:pos="2156" w:val="left"/>
        </w:tabs>
        <w:numPr>
          <w:ilvl w:val="0"/>
          <w:numId w:val="3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6º Em caso de o servidor público desligar-se do serviço público prestado no Município de Getúlio Vargas, por qualquer motivo que seja, o saldo devedor remanescente das horas devidas será descontado da última remuneração a ser percebida pelo respectivo servidor público, sem prejuízo de eventual cobrança judicial em caso de remanescer saldo inadimplente;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both"/>
        <w:ind w:left="260" w:right="300" w:firstLine="1700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 – Para fins de aplicação desta Lei, considera-se na expressão “qualquer motivo que seja” as circunstâncias que impeçam a compensação das horas devidas, como por exemplo as hipóteses de vacância no cargo, demissão, exoneração, aposentadoria, rescisão do contrato, entre outras.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jc w:val="both"/>
        <w:ind w:left="260" w:right="30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3º Eventuais acordos realizados anteriores a presente lei, deverão ser adequados as diretrizes normativas constantes nos §§ 1°, 2°, 3°, 4°, 5º e 6º, do artigo 2º, sendo convalidadas eventuais compensações já realizadas pelos servidores.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4º A presente Lei entra em vigor na data de sua publicação.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PREFEITURA MUNICIPAL DE GETÚLIO VARGAS, 09 </w:t>
      </w:r>
      <w:r>
        <w:rPr>
          <w:rFonts w:ascii="Arial" w:cs="Arial" w:eastAsia="Arial" w:hAnsi="Arial"/>
          <w:sz w:val="21"/>
          <w:szCs w:val="21"/>
          <w:color w:val="auto"/>
        </w:rPr>
        <w:t>de Abril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Secretário de Administração.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6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Esta  Lei  foi  afixada  no  Mural  da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6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Prefeitura, onde são divulgados os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6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atos oficiais, por 15 dias a contar de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6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09/04/2021.</w:t>
      </w:r>
    </w:p>
    <w:sectPr>
      <w:pgSz w:w="11900" w:h="16837" w:orient="portrait"/>
      <w:cols w:equalWidth="0" w:num="1">
        <w:col w:w="9620"/>
      </w:cols>
      <w:pgMar w:left="1440" w:top="950" w:right="846" w:bottom="52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§"/>
      <w:numFmt w:val="bullet"/>
      <w:start w:val="1"/>
    </w:lvl>
  </w:abstractNum>
  <w:abstractNum w:abstractNumId="1">
    <w:nsid w:val="74B0DC51"/>
    <w:multiLevelType w:val="hybridMultilevel"/>
    <w:lvl w:ilvl="0">
      <w:lvlJc w:val="left"/>
      <w:lvlText w:val="%1"/>
      <w:numFmt w:val="upperLetter"/>
      <w:start w:val="35"/>
    </w:lvl>
  </w:abstractNum>
  <w:abstractNum w:abstractNumId="2">
    <w:nsid w:val="19495CFF"/>
    <w:multiLevelType w:val="hybridMultilevel"/>
    <w:lvl w:ilvl="0">
      <w:lvlJc w:val="left"/>
      <w:lvlText w:val="§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2021-06-28T20:16:33Z</dcterms:created>
  <dcterms:modified xsi:type="dcterms:W3CDTF">2021-06-28T20:16:33Z</dcterms:modified>
</cp:coreProperties>
</file>