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017/2024</w:t>
      </w:r>
    </w:p>
    <w:p w:rsidR="00000000" w:rsidDel="00000000" w:rsidP="00000000" w:rsidRDefault="00000000" w:rsidRPr="00000000" w14:paraId="00000004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(16 de maio)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Confira as decisões da sessão plenária da última quinta-feira (9) nas redes sociais e em nosso site.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08 de maio de 2024.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4">
      <w:pPr>
        <w:spacing w:line="276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2sEwRQ3f+jt9oZUEblpS1fJYA==">CgMxLjA4AHIhMUlXSWxpaTl0WllLZGtORWpKMjFlclZNRzZrbU1VX1Mw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